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BEF8" w14:textId="77777777" w:rsidR="00C76AD7" w:rsidRDefault="00272A4C" w:rsidP="00C76AD7">
      <w:pPr>
        <w:spacing w:line="240" w:lineRule="auto"/>
        <w:jc w:val="center"/>
        <w:rPr>
          <w:rFonts w:ascii="Verdana" w:hAnsi="Verdana"/>
          <w:b/>
          <w:sz w:val="20"/>
          <w:szCs w:val="20"/>
          <w:u w:val="single"/>
          <w:lang w:val="es-MX"/>
        </w:rPr>
      </w:pPr>
      <w:r w:rsidRPr="00272A4C">
        <w:rPr>
          <w:rFonts w:ascii="Verdana" w:hAnsi="Verdana"/>
          <w:b/>
          <w:sz w:val="20"/>
          <w:szCs w:val="20"/>
          <w:u w:val="single"/>
          <w:lang w:val="es-MX"/>
        </w:rPr>
        <w:t xml:space="preserve">Caso Duque </w:t>
      </w:r>
      <w:r w:rsidRPr="00272A4C">
        <w:rPr>
          <w:rFonts w:ascii="Verdana" w:hAnsi="Verdana"/>
          <w:b/>
          <w:i/>
          <w:sz w:val="20"/>
          <w:szCs w:val="20"/>
          <w:u w:val="single"/>
          <w:lang w:val="es-MX"/>
        </w:rPr>
        <w:t>Vs.</w:t>
      </w:r>
      <w:r w:rsidRPr="00272A4C">
        <w:rPr>
          <w:rFonts w:ascii="Verdana" w:hAnsi="Verdana"/>
          <w:b/>
          <w:sz w:val="20"/>
          <w:szCs w:val="20"/>
          <w:u w:val="single"/>
          <w:lang w:val="es-MX"/>
        </w:rPr>
        <w:t xml:space="preserve"> Colombia: reparaciones </w:t>
      </w:r>
      <w:r w:rsidR="008245D3">
        <w:rPr>
          <w:rFonts w:ascii="Verdana" w:hAnsi="Verdana"/>
          <w:b/>
          <w:sz w:val="20"/>
          <w:szCs w:val="20"/>
          <w:u w:val="single"/>
          <w:lang w:val="es-MX"/>
        </w:rPr>
        <w:t>declaradas cumplidas</w:t>
      </w:r>
    </w:p>
    <w:p w14:paraId="4CB83C2C" w14:textId="77777777" w:rsidR="00A369C3" w:rsidRDefault="00A369C3" w:rsidP="00C76AD7">
      <w:pPr>
        <w:spacing w:line="240" w:lineRule="auto"/>
        <w:jc w:val="center"/>
        <w:rPr>
          <w:rFonts w:ascii="Verdana" w:hAnsi="Verdana"/>
          <w:b/>
          <w:sz w:val="20"/>
          <w:szCs w:val="20"/>
          <w:u w:val="single"/>
          <w:lang w:val="es-MX"/>
        </w:rPr>
      </w:pPr>
    </w:p>
    <w:p w14:paraId="1164A5C4" w14:textId="77777777" w:rsidR="00A369C3" w:rsidRPr="00A369C3" w:rsidRDefault="00272A4C" w:rsidP="00A369C3">
      <w:pPr>
        <w:pStyle w:val="Prrafodelista"/>
        <w:numPr>
          <w:ilvl w:val="0"/>
          <w:numId w:val="1"/>
        </w:numPr>
        <w:spacing w:line="240" w:lineRule="auto"/>
        <w:ind w:left="0" w:firstLine="0"/>
        <w:jc w:val="both"/>
        <w:rPr>
          <w:rFonts w:ascii="Verdana" w:hAnsi="Verdana"/>
          <w:sz w:val="20"/>
          <w:szCs w:val="20"/>
          <w:lang w:val="es-MX"/>
        </w:rPr>
      </w:pPr>
      <w:r w:rsidRPr="00A369C3">
        <w:rPr>
          <w:rFonts w:ascii="Verdana" w:hAnsi="Verdana"/>
          <w:sz w:val="20"/>
          <w:szCs w:val="20"/>
          <w:lang w:val="es-MX"/>
        </w:rPr>
        <w:t>Realizar las publicaciones</w:t>
      </w:r>
      <w:r w:rsidR="00A369C3" w:rsidRPr="00A369C3">
        <w:rPr>
          <w:rFonts w:ascii="Verdana" w:hAnsi="Verdana"/>
          <w:sz w:val="20"/>
          <w:szCs w:val="20"/>
          <w:lang w:val="es-MX"/>
        </w:rPr>
        <w:t xml:space="preserve"> de la Sentencia</w:t>
      </w:r>
      <w:r w:rsidRPr="00A369C3">
        <w:rPr>
          <w:rFonts w:ascii="Verdana" w:hAnsi="Verdana"/>
          <w:sz w:val="20"/>
          <w:szCs w:val="20"/>
          <w:lang w:val="es-MX"/>
        </w:rPr>
        <w:t xml:space="preserve"> indicadas en el párrafo 203 de la misma. </w:t>
      </w:r>
    </w:p>
    <w:p w14:paraId="4870A1B4" w14:textId="77777777" w:rsidR="00A369C3" w:rsidRPr="00A369C3" w:rsidRDefault="00A369C3" w:rsidP="00A369C3">
      <w:pPr>
        <w:pStyle w:val="Prrafodelista"/>
        <w:spacing w:line="240" w:lineRule="auto"/>
        <w:ind w:left="0"/>
        <w:jc w:val="both"/>
        <w:rPr>
          <w:rFonts w:ascii="Verdana" w:hAnsi="Verdana"/>
          <w:sz w:val="20"/>
          <w:szCs w:val="20"/>
          <w:lang w:val="es-MX"/>
        </w:rPr>
      </w:pPr>
    </w:p>
    <w:p w14:paraId="1BAD1533" w14:textId="3808FD4A" w:rsidR="00A369C3" w:rsidRPr="00A369C3" w:rsidRDefault="00A369C3" w:rsidP="00A369C3">
      <w:pPr>
        <w:pStyle w:val="Prrafodelista"/>
        <w:numPr>
          <w:ilvl w:val="0"/>
          <w:numId w:val="1"/>
        </w:numPr>
        <w:spacing w:line="240" w:lineRule="auto"/>
        <w:ind w:left="0" w:firstLine="0"/>
        <w:jc w:val="both"/>
        <w:rPr>
          <w:rFonts w:ascii="Verdana" w:hAnsi="Verdana"/>
          <w:sz w:val="20"/>
          <w:szCs w:val="20"/>
          <w:lang w:val="es-MX"/>
        </w:rPr>
      </w:pPr>
      <w:r w:rsidRPr="00A369C3">
        <w:rPr>
          <w:rFonts w:ascii="Verdana" w:hAnsi="Verdana"/>
          <w:sz w:val="20"/>
          <w:szCs w:val="20"/>
          <w:lang w:val="es-MX"/>
        </w:rPr>
        <w:t>G</w:t>
      </w:r>
      <w:r w:rsidRPr="00A369C3">
        <w:rPr>
          <w:rFonts w:ascii="Verdana" w:hAnsi="Verdana"/>
          <w:sz w:val="20"/>
          <w:szCs w:val="20"/>
          <w:lang w:val="es-MX"/>
        </w:rPr>
        <w:t xml:space="preserve">arantizar al señor Duque el trámite prioritario de su eventual solicitud a una pensión de sobrevivencia, en los términos de los párrafos 199 y 200 de </w:t>
      </w:r>
      <w:r w:rsidRPr="00A369C3">
        <w:rPr>
          <w:rFonts w:ascii="Verdana" w:hAnsi="Verdana"/>
          <w:sz w:val="20"/>
          <w:szCs w:val="20"/>
          <w:lang w:val="es-MX"/>
        </w:rPr>
        <w:t>la</w:t>
      </w:r>
      <w:r w:rsidRPr="00A369C3">
        <w:rPr>
          <w:rFonts w:ascii="Verdana" w:hAnsi="Verdana"/>
          <w:sz w:val="20"/>
          <w:szCs w:val="20"/>
          <w:lang w:val="es-MX"/>
        </w:rPr>
        <w:t xml:space="preserve"> Sentencia.</w:t>
      </w:r>
    </w:p>
    <w:p w14:paraId="77B1F548" w14:textId="77777777" w:rsidR="00A369C3" w:rsidRPr="00A369C3" w:rsidRDefault="00A369C3" w:rsidP="00A369C3">
      <w:pPr>
        <w:pStyle w:val="Prrafodelista"/>
        <w:rPr>
          <w:rFonts w:ascii="Verdana" w:hAnsi="Verdana"/>
          <w:sz w:val="20"/>
          <w:szCs w:val="20"/>
          <w:lang w:val="es-MX"/>
        </w:rPr>
      </w:pPr>
    </w:p>
    <w:p w14:paraId="57F534A9" w14:textId="72E6058A" w:rsidR="00D84ED5" w:rsidRPr="00A369C3" w:rsidRDefault="00D84ED5" w:rsidP="00D84ED5">
      <w:pPr>
        <w:pStyle w:val="Prrafodelista"/>
        <w:numPr>
          <w:ilvl w:val="0"/>
          <w:numId w:val="1"/>
        </w:numPr>
        <w:ind w:left="360"/>
        <w:jc w:val="both"/>
        <w:rPr>
          <w:rFonts w:ascii="Verdana" w:hAnsi="Verdana"/>
          <w:sz w:val="20"/>
          <w:szCs w:val="20"/>
          <w:lang w:val="es-MX"/>
        </w:rPr>
      </w:pPr>
      <w:r w:rsidRPr="00A369C3">
        <w:rPr>
          <w:rFonts w:ascii="Verdana" w:hAnsi="Verdana"/>
          <w:sz w:val="20"/>
          <w:szCs w:val="20"/>
          <w:lang w:val="es-MX"/>
        </w:rPr>
        <w:t>Pagar</w:t>
      </w:r>
      <w:r w:rsidR="00A369C3" w:rsidRPr="00A369C3">
        <w:rPr>
          <w:rFonts w:ascii="Verdana" w:hAnsi="Verdana"/>
          <w:sz w:val="20"/>
          <w:szCs w:val="20"/>
          <w:lang w:val="es-MX"/>
        </w:rPr>
        <w:t xml:space="preserve"> </w:t>
      </w:r>
      <w:r w:rsidRPr="00A369C3">
        <w:rPr>
          <w:rFonts w:ascii="Verdana" w:hAnsi="Verdana"/>
          <w:sz w:val="20"/>
          <w:szCs w:val="20"/>
          <w:lang w:val="es-MX"/>
        </w:rPr>
        <w:t xml:space="preserve">las cantidades fijadas en los párrafos 221 y 227 de </w:t>
      </w:r>
      <w:r w:rsidR="00A369C3" w:rsidRPr="00A369C3">
        <w:rPr>
          <w:rFonts w:ascii="Verdana" w:hAnsi="Verdana"/>
          <w:sz w:val="20"/>
          <w:szCs w:val="20"/>
          <w:lang w:val="es-MX"/>
        </w:rPr>
        <w:t xml:space="preserve">la </w:t>
      </w:r>
      <w:r w:rsidRPr="00A369C3">
        <w:rPr>
          <w:rFonts w:ascii="Verdana" w:hAnsi="Verdana"/>
          <w:sz w:val="20"/>
          <w:szCs w:val="20"/>
          <w:lang w:val="es-MX"/>
        </w:rPr>
        <w:t>Sentencia por concepto de indemnización por daño inmaterial, así como por el reintegro de costas y gastos.</w:t>
      </w:r>
    </w:p>
    <w:p w14:paraId="74F20DB6" w14:textId="77777777" w:rsidR="00D84ED5" w:rsidRPr="00272A4C" w:rsidRDefault="00D84ED5" w:rsidP="00D84ED5">
      <w:pPr>
        <w:pStyle w:val="Prrafodelista"/>
        <w:ind w:left="360" w:hanging="360"/>
        <w:rPr>
          <w:rFonts w:ascii="Verdana" w:hAnsi="Verdana"/>
          <w:sz w:val="20"/>
          <w:szCs w:val="20"/>
          <w:lang w:val="es-MX"/>
        </w:rPr>
      </w:pPr>
    </w:p>
    <w:sectPr w:rsidR="00D84ED5" w:rsidRPr="00272A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8C89" w14:textId="77777777" w:rsidR="005F0651" w:rsidRDefault="005F0651" w:rsidP="00272A4C">
      <w:pPr>
        <w:spacing w:after="0" w:line="240" w:lineRule="auto"/>
      </w:pPr>
      <w:r>
        <w:separator/>
      </w:r>
    </w:p>
  </w:endnote>
  <w:endnote w:type="continuationSeparator" w:id="0">
    <w:p w14:paraId="175E2AAA" w14:textId="77777777" w:rsidR="005F0651" w:rsidRDefault="005F0651" w:rsidP="0027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7C7" w14:textId="12CC806D" w:rsidR="00272A4C" w:rsidRPr="00AD7D16" w:rsidRDefault="00272A4C" w:rsidP="00272A4C">
    <w:pPr>
      <w:jc w:val="both"/>
      <w:rPr>
        <w:rFonts w:ascii="Verdana" w:hAnsi="Verdana"/>
        <w:bCs/>
        <w:sz w:val="16"/>
        <w:szCs w:val="16"/>
        <w:lang w:val="es-MX"/>
      </w:rPr>
    </w:pPr>
    <w:r w:rsidRPr="00AD7D16">
      <w:rPr>
        <w:rFonts w:ascii="Verdana" w:hAnsi="Verdana"/>
        <w:bCs/>
        <w:sz w:val="16"/>
        <w:szCs w:val="16"/>
        <w:lang w:val="es-MX"/>
      </w:rPr>
      <w:t xml:space="preserve">La presente sistematización de información fue </w:t>
    </w:r>
    <w:r w:rsidR="00E97A43">
      <w:rPr>
        <w:rFonts w:ascii="Verdana" w:hAnsi="Verdana"/>
        <w:bCs/>
        <w:sz w:val="16"/>
        <w:szCs w:val="16"/>
        <w:lang w:val="es-MX"/>
      </w:rPr>
      <w:t>realizada</w:t>
    </w:r>
    <w:r w:rsidRPr="00AD7D1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5B2FC530" w14:textId="77777777" w:rsidR="00272A4C" w:rsidRPr="00272A4C" w:rsidRDefault="00272A4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B2E2" w14:textId="77777777" w:rsidR="005F0651" w:rsidRDefault="005F0651" w:rsidP="00272A4C">
      <w:pPr>
        <w:spacing w:after="0" w:line="240" w:lineRule="auto"/>
      </w:pPr>
      <w:r>
        <w:separator/>
      </w:r>
    </w:p>
  </w:footnote>
  <w:footnote w:type="continuationSeparator" w:id="0">
    <w:p w14:paraId="3FDD920C" w14:textId="77777777" w:rsidR="005F0651" w:rsidRDefault="005F0651" w:rsidP="0027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575699AC" w14:textId="77777777" w:rsidR="00B65706" w:rsidRDefault="00B65706" w:rsidP="00B65706">
        <w:pPr>
          <w:pStyle w:val="Encabezado"/>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D84ED5">
          <w:rPr>
            <w:rFonts w:ascii="Verdana" w:hAnsi="Verdana"/>
            <w:noProof/>
            <w:sz w:val="20"/>
            <w:szCs w:val="20"/>
          </w:rPr>
          <w:t>1</w:t>
        </w:r>
        <w:r>
          <w:rPr>
            <w:rFonts w:ascii="Verdana" w:hAnsi="Verdana"/>
            <w:noProof/>
            <w:sz w:val="20"/>
            <w:szCs w:val="20"/>
          </w:rPr>
          <w:fldChar w:fldCharType="end"/>
        </w:r>
      </w:p>
    </w:sdtContent>
  </w:sdt>
  <w:p w14:paraId="30524F8D" w14:textId="77777777" w:rsidR="00B65706" w:rsidRDefault="00B657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00B2"/>
    <w:multiLevelType w:val="hybridMultilevel"/>
    <w:tmpl w:val="A698B98A"/>
    <w:lvl w:ilvl="0" w:tplc="3E82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3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4C"/>
    <w:rsid w:val="00272A4C"/>
    <w:rsid w:val="003A7E5E"/>
    <w:rsid w:val="00517F31"/>
    <w:rsid w:val="005F0651"/>
    <w:rsid w:val="008245D3"/>
    <w:rsid w:val="00937F05"/>
    <w:rsid w:val="009832C0"/>
    <w:rsid w:val="00A369C3"/>
    <w:rsid w:val="00B0255E"/>
    <w:rsid w:val="00B65706"/>
    <w:rsid w:val="00C76AD7"/>
    <w:rsid w:val="00D84ED5"/>
    <w:rsid w:val="00E9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54D"/>
  <w15:docId w15:val="{9045B3C2-D501-4F1D-9394-FD91668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2A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72A4C"/>
  </w:style>
  <w:style w:type="paragraph" w:styleId="Piedepgina">
    <w:name w:val="footer"/>
    <w:basedOn w:val="Normal"/>
    <w:link w:val="PiedepginaCar"/>
    <w:uiPriority w:val="99"/>
    <w:unhideWhenUsed/>
    <w:rsid w:val="00272A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72A4C"/>
  </w:style>
  <w:style w:type="paragraph" w:styleId="Prrafodelista">
    <w:name w:val="List Paragraph"/>
    <w:basedOn w:val="Normal"/>
    <w:uiPriority w:val="34"/>
    <w:qFormat/>
    <w:rsid w:val="0027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407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2</cp:revision>
  <dcterms:created xsi:type="dcterms:W3CDTF">2023-09-29T20:57:00Z</dcterms:created>
  <dcterms:modified xsi:type="dcterms:W3CDTF">2023-09-29T20:57:00Z</dcterms:modified>
</cp:coreProperties>
</file>